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3B9A" w:rsidRPr="00E53B9A" w:rsidRDefault="00E53B9A" w:rsidP="00E53B9A">
      <w:pPr>
        <w:autoSpaceDE w:val="0"/>
        <w:autoSpaceDN w:val="0"/>
        <w:adjustRightInd w:val="0"/>
        <w:spacing w:after="0" w:line="360" w:lineRule="auto"/>
        <w:jc w:val="both"/>
        <w:rPr>
          <w:rFonts w:ascii="Copperplate Gothic Light" w:hAnsi="Copperplate Gothic Light" w:cs="Century Gothic"/>
          <w:color w:val="000000"/>
          <w:sz w:val="28"/>
          <w:szCs w:val="28"/>
        </w:rPr>
      </w:pPr>
      <w:r w:rsidRPr="00E53B9A">
        <w:rPr>
          <w:rFonts w:ascii="Copperplate Gothic Light" w:hAnsi="Copperplate Gothic Light" w:cs="Century Gothic"/>
          <w:color w:val="000000"/>
          <w:sz w:val="28"/>
          <w:szCs w:val="28"/>
        </w:rPr>
        <w:t xml:space="preserve">Narrative </w:t>
      </w:r>
    </w:p>
    <w:p w:rsidR="00DF19B1" w:rsidRDefault="00DF19B1" w:rsidP="00E53B9A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Century Gothic"/>
          <w:color w:val="000000"/>
          <w:sz w:val="20"/>
          <w:szCs w:val="20"/>
        </w:rPr>
      </w:pPr>
    </w:p>
    <w:p w:rsidR="00E53B9A" w:rsidRPr="00655CAA" w:rsidRDefault="00E53B9A" w:rsidP="00E53B9A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Century Gothic"/>
          <w:color w:val="000000"/>
          <w:sz w:val="20"/>
          <w:szCs w:val="20"/>
        </w:rPr>
      </w:pPr>
      <w:bookmarkStart w:id="0" w:name="_GoBack"/>
      <w:bookmarkEnd w:id="0"/>
      <w:r w:rsidRPr="00655CAA">
        <w:rPr>
          <w:rFonts w:ascii="Century Gothic" w:hAnsi="Century Gothic" w:cs="Century Gothic"/>
          <w:color w:val="000000"/>
          <w:sz w:val="20"/>
          <w:szCs w:val="20"/>
        </w:rPr>
        <w:t>HISTORY.  In 19</w:t>
      </w:r>
      <w:r w:rsidR="00303886">
        <w:rPr>
          <w:rFonts w:ascii="Century Gothic" w:hAnsi="Century Gothic" w:cs="Century Gothic"/>
          <w:color w:val="000000"/>
          <w:sz w:val="20"/>
          <w:szCs w:val="20"/>
        </w:rPr>
        <w:t>72</w:t>
      </w:r>
      <w:r w:rsidRPr="00655CAA">
        <w:rPr>
          <w:rFonts w:ascii="Century Gothic" w:hAnsi="Century Gothic" w:cs="Century Gothic"/>
          <w:color w:val="000000"/>
          <w:sz w:val="20"/>
          <w:szCs w:val="20"/>
        </w:rPr>
        <w:t xml:space="preserve">, </w:t>
      </w:r>
      <w:proofErr w:type="spellStart"/>
      <w:r w:rsidRPr="00655CAA">
        <w:rPr>
          <w:rFonts w:ascii="Century Gothic" w:hAnsi="Century Gothic" w:cs="Century Gothic"/>
          <w:color w:val="000000"/>
          <w:sz w:val="20"/>
          <w:szCs w:val="20"/>
        </w:rPr>
        <w:t>Proj</w:t>
      </w:r>
      <w:proofErr w:type="spellEnd"/>
      <w:r w:rsidRPr="00655CAA">
        <w:rPr>
          <w:rFonts w:ascii="Century Gothic" w:hAnsi="Century Gothic" w:cs="Century Gothic"/>
          <w:color w:val="000000"/>
          <w:sz w:val="20"/>
          <w:szCs w:val="20"/>
        </w:rPr>
        <w:t xml:space="preserve">. </w:t>
      </w:r>
      <w:r w:rsidR="00303886">
        <w:rPr>
          <w:rFonts w:ascii="Century Gothic" w:hAnsi="Century Gothic" w:cs="Century Gothic"/>
          <w:color w:val="000000"/>
          <w:sz w:val="20"/>
          <w:szCs w:val="20"/>
        </w:rPr>
        <w:t>50001-3401</w:t>
      </w:r>
      <w:r w:rsidRPr="00655CAA">
        <w:rPr>
          <w:rFonts w:ascii="Century Gothic" w:hAnsi="Century Gothic" w:cs="Century Gothic"/>
          <w:color w:val="000000"/>
          <w:sz w:val="20"/>
          <w:szCs w:val="20"/>
        </w:rPr>
        <w:t xml:space="preserve"> constructed </w:t>
      </w:r>
      <w:r w:rsidR="004E673C">
        <w:rPr>
          <w:rFonts w:ascii="Century Gothic" w:hAnsi="Century Gothic" w:cs="Century Gothic"/>
          <w:color w:val="000000"/>
          <w:sz w:val="20"/>
          <w:szCs w:val="20"/>
        </w:rPr>
        <w:t>30</w:t>
      </w:r>
      <w:r w:rsidR="00F02808">
        <w:rPr>
          <w:rFonts w:ascii="Century Gothic" w:hAnsi="Century Gothic" w:cs="Century Gothic"/>
          <w:color w:val="000000"/>
          <w:sz w:val="20"/>
          <w:szCs w:val="20"/>
        </w:rPr>
        <w:t>5</w:t>
      </w:r>
      <w:r w:rsidR="004E673C">
        <w:rPr>
          <w:rFonts w:ascii="Century Gothic" w:hAnsi="Century Gothic" w:cs="Century Gothic"/>
          <w:color w:val="000000"/>
          <w:sz w:val="20"/>
          <w:szCs w:val="20"/>
        </w:rPr>
        <w:t xml:space="preserve">’ </w:t>
      </w:r>
      <w:r w:rsidRPr="00655CAA">
        <w:rPr>
          <w:rFonts w:ascii="Century Gothic" w:hAnsi="Century Gothic" w:cs="Century Gothic"/>
          <w:color w:val="000000"/>
          <w:sz w:val="20"/>
          <w:szCs w:val="20"/>
        </w:rPr>
        <w:t xml:space="preserve">Culvert No. </w:t>
      </w:r>
      <w:r w:rsidR="00DD3004">
        <w:rPr>
          <w:rFonts w:ascii="Century Gothic" w:hAnsi="Century Gothic" w:cs="Century Gothic"/>
          <w:color w:val="000000"/>
          <w:sz w:val="20"/>
          <w:szCs w:val="20"/>
        </w:rPr>
        <w:t>CBC123</w:t>
      </w:r>
      <w:r w:rsidR="00BD7876">
        <w:rPr>
          <w:rFonts w:ascii="Century Gothic" w:hAnsi="Century Gothic" w:cs="Century Gothic"/>
          <w:color w:val="000000"/>
          <w:sz w:val="20"/>
          <w:szCs w:val="20"/>
        </w:rPr>
        <w:t xml:space="preserve"> to carry</w:t>
      </w:r>
      <w:r w:rsidRPr="00655CAA">
        <w:rPr>
          <w:rFonts w:ascii="Century Gothic" w:hAnsi="Century Gothic" w:cs="Century Gothic"/>
          <w:color w:val="000000"/>
          <w:sz w:val="20"/>
          <w:szCs w:val="20"/>
        </w:rPr>
        <w:t xml:space="preserve"> </w:t>
      </w:r>
      <w:r w:rsidR="00303886">
        <w:rPr>
          <w:rFonts w:ascii="Century Gothic" w:hAnsi="Century Gothic" w:cs="Century Gothic"/>
          <w:color w:val="000000"/>
          <w:sz w:val="20"/>
          <w:szCs w:val="20"/>
        </w:rPr>
        <w:t xml:space="preserve">I-10 over </w:t>
      </w:r>
      <w:r w:rsidR="00DD3004">
        <w:rPr>
          <w:rFonts w:ascii="Century Gothic" w:hAnsi="Century Gothic" w:cs="Century Gothic"/>
          <w:color w:val="000000"/>
          <w:sz w:val="20"/>
          <w:szCs w:val="20"/>
        </w:rPr>
        <w:t>Example Creek</w:t>
      </w:r>
      <w:r w:rsidR="00303886">
        <w:rPr>
          <w:rFonts w:ascii="Century Gothic" w:hAnsi="Century Gothic" w:cs="Century Gothic"/>
          <w:color w:val="000000"/>
          <w:sz w:val="20"/>
          <w:szCs w:val="20"/>
        </w:rPr>
        <w:t xml:space="preserve">.  </w:t>
      </w:r>
      <w:r w:rsidR="00383305">
        <w:rPr>
          <w:rFonts w:ascii="Century Gothic" w:hAnsi="Century Gothic" w:cs="Century Gothic"/>
          <w:color w:val="000000"/>
          <w:sz w:val="20"/>
          <w:szCs w:val="20"/>
        </w:rPr>
        <w:t xml:space="preserve">In </w:t>
      </w:r>
      <w:r w:rsidR="00F14950">
        <w:rPr>
          <w:rFonts w:ascii="Century Gothic" w:hAnsi="Century Gothic" w:cs="Century Gothic"/>
          <w:color w:val="000000"/>
          <w:sz w:val="20"/>
          <w:szCs w:val="20"/>
        </w:rPr>
        <w:t>2001</w:t>
      </w:r>
      <w:r w:rsidR="00383305">
        <w:rPr>
          <w:rFonts w:ascii="Century Gothic" w:hAnsi="Century Gothic" w:cs="Century Gothic"/>
          <w:color w:val="000000"/>
          <w:sz w:val="20"/>
          <w:szCs w:val="20"/>
        </w:rPr>
        <w:t xml:space="preserve">, </w:t>
      </w:r>
      <w:r w:rsidR="004E673C">
        <w:rPr>
          <w:rFonts w:ascii="Century Gothic" w:hAnsi="Century Gothic" w:cs="Century Gothic"/>
          <w:color w:val="000000"/>
          <w:sz w:val="20"/>
          <w:szCs w:val="20"/>
        </w:rPr>
        <w:t xml:space="preserve">Project </w:t>
      </w:r>
      <w:r w:rsidR="00F14950">
        <w:rPr>
          <w:rFonts w:ascii="Century Gothic" w:hAnsi="Century Gothic" w:cs="Century Gothic"/>
          <w:color w:val="000000"/>
          <w:sz w:val="20"/>
          <w:szCs w:val="20"/>
        </w:rPr>
        <w:t>50001-3422</w:t>
      </w:r>
      <w:r w:rsidR="00383305">
        <w:rPr>
          <w:rFonts w:ascii="Century Gothic" w:hAnsi="Century Gothic" w:cs="Century Gothic"/>
          <w:color w:val="000000"/>
          <w:sz w:val="20"/>
          <w:szCs w:val="20"/>
        </w:rPr>
        <w:t xml:space="preserve"> (</w:t>
      </w:r>
      <w:r w:rsidR="00BD7876">
        <w:rPr>
          <w:rFonts w:ascii="Century Gothic" w:hAnsi="Century Gothic" w:cs="Century Gothic"/>
          <w:color w:val="000000"/>
          <w:sz w:val="20"/>
          <w:szCs w:val="20"/>
        </w:rPr>
        <w:t xml:space="preserve">FIN </w:t>
      </w:r>
      <w:r w:rsidR="00F14950">
        <w:rPr>
          <w:rFonts w:ascii="Century Gothic" w:hAnsi="Century Gothic" w:cs="Century Gothic"/>
          <w:color w:val="000000"/>
          <w:sz w:val="20"/>
          <w:szCs w:val="20"/>
        </w:rPr>
        <w:t>222534-1</w:t>
      </w:r>
      <w:r w:rsidR="00BD7876">
        <w:rPr>
          <w:rFonts w:ascii="Century Gothic" w:hAnsi="Century Gothic" w:cs="Century Gothic"/>
          <w:color w:val="000000"/>
          <w:sz w:val="20"/>
          <w:szCs w:val="20"/>
        </w:rPr>
        <w:t xml:space="preserve">) </w:t>
      </w:r>
      <w:r w:rsidR="00F14950">
        <w:rPr>
          <w:rFonts w:ascii="Century Gothic" w:hAnsi="Century Gothic" w:cs="Century Gothic"/>
          <w:color w:val="000000"/>
          <w:sz w:val="20"/>
          <w:szCs w:val="20"/>
        </w:rPr>
        <w:t xml:space="preserve">added riprap to the north end, and improved the geometry for the eastbound on-ramp to I-10, but </w:t>
      </w:r>
      <w:r w:rsidR="00F02808">
        <w:rPr>
          <w:rFonts w:ascii="Century Gothic" w:hAnsi="Century Gothic" w:cs="Century Gothic"/>
          <w:color w:val="000000"/>
          <w:sz w:val="20"/>
          <w:szCs w:val="20"/>
        </w:rPr>
        <w:t>50001-3422</w:t>
      </w:r>
      <w:r w:rsidR="00F14950">
        <w:rPr>
          <w:rFonts w:ascii="Century Gothic" w:hAnsi="Century Gothic" w:cs="Century Gothic"/>
          <w:color w:val="000000"/>
          <w:sz w:val="20"/>
          <w:szCs w:val="20"/>
        </w:rPr>
        <w:t xml:space="preserve"> did not extend the culvert.</w:t>
      </w:r>
      <w:r w:rsidR="00BD7876">
        <w:rPr>
          <w:rFonts w:ascii="Century Gothic" w:hAnsi="Century Gothic" w:cs="Century Gothic"/>
          <w:color w:val="000000"/>
          <w:sz w:val="20"/>
          <w:szCs w:val="20"/>
        </w:rPr>
        <w:t xml:space="preserve">  </w:t>
      </w:r>
      <w:r w:rsidR="00DF19B1" w:rsidRPr="00655CAA">
        <w:rPr>
          <w:rFonts w:ascii="Century Gothic" w:hAnsi="Century Gothic" w:cs="Century Gothic"/>
          <w:color w:val="000000"/>
          <w:sz w:val="20"/>
          <w:szCs w:val="20"/>
        </w:rPr>
        <w:t>This load rating is an update</w:t>
      </w:r>
      <w:r w:rsidR="00303886">
        <w:rPr>
          <w:rFonts w:ascii="Century Gothic" w:hAnsi="Century Gothic" w:cs="Century Gothic"/>
          <w:color w:val="000000"/>
          <w:sz w:val="20"/>
          <w:szCs w:val="20"/>
        </w:rPr>
        <w:t xml:space="preserve"> that includes Emergency Vehicle</w:t>
      </w:r>
      <w:r w:rsidR="00F02808">
        <w:rPr>
          <w:rFonts w:ascii="Century Gothic" w:hAnsi="Century Gothic" w:cs="Century Gothic"/>
          <w:color w:val="000000"/>
          <w:sz w:val="20"/>
          <w:szCs w:val="20"/>
        </w:rPr>
        <w:t>s</w:t>
      </w:r>
      <w:r w:rsidR="00DF19B1" w:rsidRPr="00655CAA">
        <w:rPr>
          <w:rFonts w:ascii="Century Gothic" w:hAnsi="Century Gothic" w:cs="Century Gothic"/>
          <w:color w:val="000000"/>
          <w:sz w:val="20"/>
          <w:szCs w:val="20"/>
        </w:rPr>
        <w:t>.</w:t>
      </w:r>
    </w:p>
    <w:p w:rsidR="00E53B9A" w:rsidRPr="00655CAA" w:rsidRDefault="00E53B9A" w:rsidP="00E53B9A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Century Gothic"/>
          <w:color w:val="000000"/>
          <w:sz w:val="20"/>
          <w:szCs w:val="20"/>
        </w:rPr>
      </w:pPr>
    </w:p>
    <w:p w:rsidR="00B16B88" w:rsidRDefault="00E53B9A" w:rsidP="00E53B9A">
      <w:pPr>
        <w:spacing w:after="0" w:line="360" w:lineRule="auto"/>
        <w:jc w:val="both"/>
        <w:rPr>
          <w:rFonts w:ascii="Century Gothic" w:hAnsi="Century Gothic" w:cs="Century Gothic"/>
          <w:color w:val="000000"/>
          <w:sz w:val="20"/>
          <w:szCs w:val="20"/>
        </w:rPr>
      </w:pPr>
      <w:r w:rsidRPr="00655CAA">
        <w:rPr>
          <w:rFonts w:ascii="Century Gothic" w:hAnsi="Century Gothic" w:cs="Century Gothic"/>
          <w:color w:val="000000"/>
          <w:sz w:val="20"/>
          <w:szCs w:val="20"/>
        </w:rPr>
        <w:t xml:space="preserve">CONDITION.  </w:t>
      </w:r>
      <w:r w:rsidR="00303886">
        <w:rPr>
          <w:rFonts w:ascii="Century Gothic" w:hAnsi="Century Gothic" w:cs="Century Gothic"/>
          <w:color w:val="000000"/>
          <w:sz w:val="20"/>
          <w:szCs w:val="20"/>
        </w:rPr>
        <w:t xml:space="preserve">01-08-2018, David Stump inspected, </w:t>
      </w:r>
      <w:r w:rsidRPr="00655CAA">
        <w:rPr>
          <w:rFonts w:ascii="Century Gothic" w:hAnsi="Century Gothic" w:cs="Century Gothic"/>
          <w:color w:val="000000"/>
          <w:sz w:val="20"/>
          <w:szCs w:val="20"/>
        </w:rPr>
        <w:t xml:space="preserve">finding </w:t>
      </w:r>
      <w:r w:rsidR="00303886">
        <w:rPr>
          <w:rFonts w:ascii="Century Gothic" w:hAnsi="Century Gothic" w:cs="Century Gothic"/>
          <w:color w:val="000000"/>
          <w:sz w:val="20"/>
          <w:szCs w:val="20"/>
        </w:rPr>
        <w:t xml:space="preserve">good </w:t>
      </w:r>
      <w:r w:rsidRPr="00655CAA">
        <w:rPr>
          <w:rFonts w:ascii="Century Gothic" w:hAnsi="Century Gothic" w:cs="Century Gothic"/>
          <w:color w:val="000000"/>
          <w:sz w:val="20"/>
          <w:szCs w:val="20"/>
        </w:rPr>
        <w:t xml:space="preserve">condition </w:t>
      </w:r>
      <w:r w:rsidR="00303886">
        <w:rPr>
          <w:rFonts w:ascii="Century Gothic" w:hAnsi="Century Gothic" w:cs="Century Gothic"/>
          <w:color w:val="000000"/>
          <w:sz w:val="20"/>
          <w:szCs w:val="20"/>
        </w:rPr>
        <w:t>overall (</w:t>
      </w:r>
      <w:r w:rsidRPr="00655CAA">
        <w:rPr>
          <w:rFonts w:ascii="Century Gothic" w:hAnsi="Century Gothic" w:cs="Century Gothic"/>
          <w:color w:val="000000"/>
          <w:sz w:val="20"/>
          <w:szCs w:val="20"/>
        </w:rPr>
        <w:t xml:space="preserve">NBI </w:t>
      </w:r>
      <w:r w:rsidR="00303886">
        <w:rPr>
          <w:rFonts w:ascii="Century Gothic" w:hAnsi="Century Gothic" w:cs="Century Gothic"/>
          <w:color w:val="000000"/>
          <w:sz w:val="20"/>
          <w:szCs w:val="20"/>
        </w:rPr>
        <w:t xml:space="preserve">Item Nos. </w:t>
      </w:r>
      <w:r w:rsidRPr="00655CAA">
        <w:rPr>
          <w:rFonts w:ascii="Century Gothic" w:hAnsi="Century Gothic" w:cs="Century Gothic"/>
          <w:color w:val="000000"/>
          <w:sz w:val="20"/>
          <w:szCs w:val="20"/>
        </w:rPr>
        <w:t>6</w:t>
      </w:r>
      <w:r w:rsidR="002B706D">
        <w:rPr>
          <w:rFonts w:ascii="Century Gothic" w:hAnsi="Century Gothic" w:cs="Century Gothic"/>
          <w:color w:val="000000"/>
          <w:sz w:val="20"/>
          <w:szCs w:val="20"/>
        </w:rPr>
        <w:t>1</w:t>
      </w:r>
      <w:r w:rsidR="00303886">
        <w:rPr>
          <w:rFonts w:ascii="Century Gothic" w:hAnsi="Century Gothic" w:cs="Century Gothic"/>
          <w:color w:val="000000"/>
          <w:sz w:val="20"/>
          <w:szCs w:val="20"/>
        </w:rPr>
        <w:t> and 62 were both 7-Good).  Among all walls, Stump noted “</w:t>
      </w:r>
      <w:r w:rsidR="00303886" w:rsidRPr="00303886">
        <w:rPr>
          <w:rFonts w:ascii="Century Gothic" w:hAnsi="Century Gothic" w:cs="Century Gothic"/>
          <w:color w:val="000000"/>
          <w:sz w:val="20"/>
          <w:szCs w:val="20"/>
        </w:rPr>
        <w:t>Vertical crack with efflorescence, corrosion bleed out and active water leakage in all sidewalls</w:t>
      </w:r>
      <w:r w:rsidR="00303886">
        <w:rPr>
          <w:rFonts w:ascii="Century Gothic" w:hAnsi="Century Gothic" w:cs="Century Gothic"/>
          <w:color w:val="000000"/>
          <w:sz w:val="20"/>
          <w:szCs w:val="20"/>
        </w:rPr>
        <w:t xml:space="preserve">.”  However, the walls do not govern this structure, and the deterioration does not affect the carrying capacity </w:t>
      </w:r>
      <w:proofErr w:type="gramStart"/>
      <w:r w:rsidR="00303886">
        <w:rPr>
          <w:rFonts w:ascii="Century Gothic" w:hAnsi="Century Gothic" w:cs="Century Gothic"/>
          <w:color w:val="000000"/>
          <w:sz w:val="20"/>
          <w:szCs w:val="20"/>
        </w:rPr>
        <w:t>at this time</w:t>
      </w:r>
      <w:proofErr w:type="gramEnd"/>
      <w:r w:rsidR="00303886">
        <w:rPr>
          <w:rFonts w:ascii="Century Gothic" w:hAnsi="Century Gothic" w:cs="Century Gothic"/>
          <w:color w:val="000000"/>
          <w:sz w:val="20"/>
          <w:szCs w:val="20"/>
        </w:rPr>
        <w:t xml:space="preserve">.  Therefore, </w:t>
      </w:r>
      <w:r w:rsidR="00B16B88">
        <w:rPr>
          <w:rFonts w:ascii="Century Gothic" w:hAnsi="Century Gothic" w:cs="Century Gothic"/>
          <w:color w:val="000000"/>
          <w:sz w:val="20"/>
          <w:szCs w:val="20"/>
        </w:rPr>
        <w:t xml:space="preserve">this analysis applies </w:t>
      </w:r>
      <w:r w:rsidR="00303886">
        <w:rPr>
          <w:rFonts w:ascii="Century Gothic" w:hAnsi="Century Gothic" w:cs="Century Gothic"/>
          <w:color w:val="000000"/>
          <w:sz w:val="20"/>
          <w:szCs w:val="20"/>
        </w:rPr>
        <w:t xml:space="preserve">a condition factor of 1.00 and </w:t>
      </w:r>
      <w:r w:rsidR="00B16B88">
        <w:rPr>
          <w:rFonts w:ascii="Century Gothic" w:hAnsi="Century Gothic" w:cs="Century Gothic"/>
          <w:color w:val="000000"/>
          <w:sz w:val="20"/>
          <w:szCs w:val="20"/>
        </w:rPr>
        <w:t xml:space="preserve">uses </w:t>
      </w:r>
      <w:r w:rsidR="00303886">
        <w:rPr>
          <w:rFonts w:ascii="Century Gothic" w:hAnsi="Century Gothic" w:cs="Century Gothic"/>
          <w:color w:val="000000"/>
          <w:sz w:val="20"/>
          <w:szCs w:val="20"/>
        </w:rPr>
        <w:t>full sections.</w:t>
      </w:r>
      <w:r w:rsidR="00BD7876">
        <w:rPr>
          <w:rFonts w:ascii="Century Gothic" w:hAnsi="Century Gothic" w:cs="Century Gothic"/>
          <w:color w:val="000000"/>
          <w:sz w:val="20"/>
          <w:szCs w:val="20"/>
        </w:rPr>
        <w:t xml:space="preserve">  </w:t>
      </w:r>
    </w:p>
    <w:p w:rsidR="001D1BCF" w:rsidRDefault="001D1BCF" w:rsidP="00E53B9A">
      <w:pPr>
        <w:spacing w:after="0" w:line="360" w:lineRule="auto"/>
        <w:jc w:val="both"/>
        <w:rPr>
          <w:rFonts w:ascii="Century Gothic" w:hAnsi="Century Gothic" w:cs="Century Gothic"/>
          <w:color w:val="000000"/>
          <w:sz w:val="20"/>
          <w:szCs w:val="20"/>
        </w:rPr>
      </w:pPr>
    </w:p>
    <w:p w:rsidR="00C8309F" w:rsidRDefault="00B16B88" w:rsidP="00E53B9A">
      <w:pPr>
        <w:spacing w:after="0" w:line="360" w:lineRule="auto"/>
        <w:jc w:val="both"/>
        <w:rPr>
          <w:rFonts w:ascii="Century Gothic" w:hAnsi="Century Gothic" w:cs="Century Gothic"/>
          <w:color w:val="000000"/>
          <w:sz w:val="20"/>
          <w:szCs w:val="20"/>
        </w:rPr>
      </w:pPr>
      <w:r>
        <w:rPr>
          <w:rFonts w:ascii="Century Gothic" w:hAnsi="Century Gothic" w:cs="Century Gothic"/>
          <w:color w:val="000000"/>
          <w:sz w:val="20"/>
          <w:szCs w:val="20"/>
        </w:rPr>
        <w:t xml:space="preserve">DISCUSSION.  </w:t>
      </w:r>
      <w:r w:rsidR="001D1BCF">
        <w:rPr>
          <w:rFonts w:ascii="Century Gothic" w:hAnsi="Century Gothic" w:cs="Century Gothic"/>
          <w:color w:val="000000"/>
          <w:sz w:val="20"/>
          <w:szCs w:val="20"/>
        </w:rPr>
        <w:t xml:space="preserve">This analysis </w:t>
      </w:r>
      <w:r w:rsidR="00A96790">
        <w:rPr>
          <w:rFonts w:ascii="Century Gothic" w:hAnsi="Century Gothic" w:cs="Century Gothic"/>
          <w:color w:val="000000"/>
          <w:sz w:val="20"/>
          <w:szCs w:val="20"/>
        </w:rPr>
        <w:t xml:space="preserve">was used to revise </w:t>
      </w:r>
      <w:r w:rsidR="001D1BCF">
        <w:rPr>
          <w:rFonts w:ascii="Century Gothic" w:hAnsi="Century Gothic" w:cs="Century Gothic"/>
          <w:color w:val="000000"/>
          <w:sz w:val="20"/>
          <w:szCs w:val="20"/>
        </w:rPr>
        <w:t xml:space="preserve">the “Hinged-End Culvert Example” published at </w:t>
      </w:r>
      <w:hyperlink r:id="rId7" w:history="1">
        <w:r w:rsidR="001D1BCF" w:rsidRPr="00AF122C">
          <w:rPr>
            <w:rStyle w:val="Hyperlink"/>
            <w:rFonts w:ascii="Century Gothic" w:hAnsi="Century Gothic" w:cs="Century Gothic"/>
            <w:sz w:val="20"/>
            <w:szCs w:val="20"/>
          </w:rPr>
          <w:t>https://www.fdot.gov/maintenance/LoadRating.shtm</w:t>
        </w:r>
      </w:hyperlink>
      <w:r w:rsidR="001D1BCF">
        <w:rPr>
          <w:rFonts w:ascii="Century Gothic" w:hAnsi="Century Gothic" w:cs="Century Gothic"/>
          <w:color w:val="000000"/>
          <w:sz w:val="20"/>
          <w:szCs w:val="20"/>
        </w:rPr>
        <w:t>.  Code citations were updated to LRFD 8</w:t>
      </w:r>
      <w:r w:rsidR="001D1BCF" w:rsidRPr="001D1BCF">
        <w:rPr>
          <w:rFonts w:ascii="Century Gothic" w:hAnsi="Century Gothic" w:cs="Century Gothic"/>
          <w:color w:val="000000"/>
          <w:sz w:val="20"/>
          <w:szCs w:val="20"/>
          <w:vertAlign w:val="superscript"/>
        </w:rPr>
        <w:t>th</w:t>
      </w:r>
      <w:r w:rsidR="001D1BCF">
        <w:rPr>
          <w:rFonts w:ascii="Century Gothic" w:hAnsi="Century Gothic" w:cs="Century Gothic"/>
          <w:color w:val="000000"/>
          <w:sz w:val="20"/>
          <w:szCs w:val="20"/>
        </w:rPr>
        <w:t xml:space="preserve"> Ed., and FAST Act emergency vehicles were added.</w:t>
      </w:r>
    </w:p>
    <w:p w:rsidR="001D1BCF" w:rsidRDefault="001D1BCF" w:rsidP="00E53B9A">
      <w:pPr>
        <w:spacing w:after="0" w:line="360" w:lineRule="auto"/>
        <w:jc w:val="both"/>
        <w:rPr>
          <w:rFonts w:ascii="Century Gothic" w:hAnsi="Century Gothic" w:cs="Century Gothic"/>
          <w:color w:val="000000"/>
          <w:sz w:val="20"/>
          <w:szCs w:val="20"/>
        </w:rPr>
      </w:pPr>
    </w:p>
    <w:p w:rsidR="001D1BCF" w:rsidRPr="00655CAA" w:rsidRDefault="001D1BCF" w:rsidP="00E53B9A">
      <w:pPr>
        <w:spacing w:after="0" w:line="360" w:lineRule="auto"/>
        <w:jc w:val="both"/>
        <w:rPr>
          <w:rFonts w:ascii="Century Gothic" w:hAnsi="Century Gothic" w:cs="Century Gothic"/>
          <w:color w:val="000000"/>
          <w:sz w:val="20"/>
          <w:szCs w:val="20"/>
        </w:rPr>
      </w:pPr>
      <w:r>
        <w:rPr>
          <w:rFonts w:ascii="Century Gothic" w:hAnsi="Century Gothic" w:cs="Century Gothic"/>
          <w:color w:val="000000"/>
          <w:sz w:val="20"/>
          <w:szCs w:val="20"/>
        </w:rPr>
        <w:t xml:space="preserve">CONCLUSION.  </w:t>
      </w:r>
      <w:r w:rsidR="00A96790">
        <w:rPr>
          <w:rFonts w:ascii="Century Gothic" w:hAnsi="Century Gothic" w:cs="Century Gothic"/>
          <w:color w:val="000000"/>
          <w:sz w:val="20"/>
          <w:szCs w:val="20"/>
        </w:rPr>
        <w:t>Culvert No. 500112 is sufficient for all legal loads.</w:t>
      </w:r>
    </w:p>
    <w:p w:rsidR="00E53B9A" w:rsidRDefault="00E53B9A" w:rsidP="00E53B9A">
      <w:pPr>
        <w:spacing w:after="0" w:line="360" w:lineRule="auto"/>
        <w:jc w:val="both"/>
        <w:rPr>
          <w:rFonts w:ascii="Century Gothic" w:hAnsi="Century Gothic" w:cs="Century Gothic"/>
          <w:color w:val="000000"/>
          <w:sz w:val="20"/>
          <w:szCs w:val="20"/>
        </w:rPr>
      </w:pPr>
    </w:p>
    <w:sectPr w:rsidR="00E53B9A" w:rsidSect="004469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B9A"/>
    <w:rsid w:val="001D1BCF"/>
    <w:rsid w:val="00207E35"/>
    <w:rsid w:val="002B706D"/>
    <w:rsid w:val="00303886"/>
    <w:rsid w:val="003219CB"/>
    <w:rsid w:val="00383305"/>
    <w:rsid w:val="00411AF0"/>
    <w:rsid w:val="004469F4"/>
    <w:rsid w:val="004E673C"/>
    <w:rsid w:val="006076A7"/>
    <w:rsid w:val="00655CAA"/>
    <w:rsid w:val="0077020B"/>
    <w:rsid w:val="00796675"/>
    <w:rsid w:val="00903745"/>
    <w:rsid w:val="00A96790"/>
    <w:rsid w:val="00B16B88"/>
    <w:rsid w:val="00BD7876"/>
    <w:rsid w:val="00C64F72"/>
    <w:rsid w:val="00CB3387"/>
    <w:rsid w:val="00DD3004"/>
    <w:rsid w:val="00DF19B1"/>
    <w:rsid w:val="00E53B9A"/>
    <w:rsid w:val="00E71921"/>
    <w:rsid w:val="00EF569F"/>
    <w:rsid w:val="00F02808"/>
    <w:rsid w:val="00F14950"/>
    <w:rsid w:val="00F83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787D5D-EC18-407B-9FD2-73FD4C5F9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DOTHEADING">
    <w:name w:val="FDOT HEADING"/>
    <w:basedOn w:val="Normal"/>
    <w:link w:val="FDOTHEADINGChar"/>
    <w:qFormat/>
    <w:rsid w:val="00CB3387"/>
    <w:pPr>
      <w:spacing w:before="120" w:after="120" w:line="276" w:lineRule="auto"/>
      <w:jc w:val="both"/>
    </w:pPr>
    <w:rPr>
      <w:rFonts w:ascii="Arial" w:hAnsi="Arial" w:cs="Arial"/>
      <w:b/>
      <w:color w:val="000000" w:themeColor="text1"/>
      <w:sz w:val="28"/>
      <w:szCs w:val="28"/>
    </w:rPr>
  </w:style>
  <w:style w:type="character" w:customStyle="1" w:styleId="FDOTHEADINGChar">
    <w:name w:val="FDOT HEADING Char"/>
    <w:basedOn w:val="DefaultParagraphFont"/>
    <w:link w:val="FDOTHEADING"/>
    <w:rsid w:val="00CB3387"/>
    <w:rPr>
      <w:rFonts w:ascii="Arial" w:hAnsi="Arial" w:cs="Arial"/>
      <w:b/>
      <w:color w:val="000000" w:themeColor="text1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1D1BC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D1BC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www.fdot.gov/maintenance/LoadRating.s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0F54ABC687D643BE17807EC3030F1A" ma:contentTypeVersion="0" ma:contentTypeDescription="Create a new document." ma:contentTypeScope="" ma:versionID="7e74aa7117bfca6b2db6fdbcafd7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C14836-C493-4438-8935-4A8D6FE519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0CBF9F-EB7D-4846-9B53-90D7F3C734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F4C687-CEE7-496C-A055-E7B68A1ADE8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DeVault, Andrew</dc:creator>
  <cp:keywords/>
  <dc:description/>
  <cp:lastModifiedBy>DeVault, Andrew</cp:lastModifiedBy>
  <cp:revision>21</cp:revision>
  <cp:lastPrinted>2019-03-01T16:25:00Z</cp:lastPrinted>
  <dcterms:created xsi:type="dcterms:W3CDTF">2015-11-16T12:49:00Z</dcterms:created>
  <dcterms:modified xsi:type="dcterms:W3CDTF">2019-06-05T18:52:00Z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0x010100980F54ABC687D643BE17807EC3030F1A</vt:lpwstr>
  </property>
</Properties>
</file>